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9F741" w14:textId="379BAAE9" w:rsidR="00EE1654" w:rsidRDefault="00EE1654" w:rsidP="00EE1654">
      <w:pPr>
        <w:jc w:val="center"/>
      </w:pPr>
      <w:r w:rsidRPr="00EE1654">
        <w:rPr>
          <w:b/>
          <w:bCs/>
          <w:sz w:val="28"/>
          <w:szCs w:val="28"/>
        </w:rPr>
        <w:t xml:space="preserve">KLAUZULA INFORMACYJNA </w:t>
      </w:r>
      <w:r w:rsidR="00C653FB">
        <w:rPr>
          <w:b/>
          <w:bCs/>
          <w:sz w:val="28"/>
          <w:szCs w:val="28"/>
        </w:rPr>
        <w:t>„</w:t>
      </w:r>
      <w:r w:rsidR="00C653FB" w:rsidRPr="00CD752F">
        <w:rPr>
          <w:b/>
          <w:bCs/>
          <w:sz w:val="28"/>
          <w:szCs w:val="28"/>
        </w:rPr>
        <w:t>BANK</w:t>
      </w:r>
      <w:r w:rsidR="007C4AB7" w:rsidRPr="00CD752F">
        <w:rPr>
          <w:b/>
          <w:bCs/>
          <w:sz w:val="28"/>
          <w:szCs w:val="28"/>
        </w:rPr>
        <w:t>U</w:t>
      </w:r>
      <w:r w:rsidR="00C653FB" w:rsidRPr="00CD752F">
        <w:rPr>
          <w:b/>
          <w:bCs/>
          <w:sz w:val="28"/>
          <w:szCs w:val="28"/>
        </w:rPr>
        <w:t xml:space="preserve"> </w:t>
      </w:r>
      <w:r w:rsidR="00CD752F" w:rsidRPr="00CD752F">
        <w:rPr>
          <w:b/>
          <w:bCs/>
          <w:sz w:val="28"/>
          <w:szCs w:val="28"/>
        </w:rPr>
        <w:t>S</w:t>
      </w:r>
      <w:r w:rsidR="00CD752F">
        <w:rPr>
          <w:b/>
          <w:bCs/>
          <w:sz w:val="28"/>
          <w:szCs w:val="28"/>
        </w:rPr>
        <w:t>PÓŁDZIELCZEGO W STEGNIE</w:t>
      </w:r>
      <w:r w:rsidR="00C653FB">
        <w:rPr>
          <w:b/>
          <w:bCs/>
          <w:sz w:val="28"/>
          <w:szCs w:val="28"/>
        </w:rPr>
        <w:t xml:space="preserve">” </w:t>
      </w:r>
      <w:r w:rsidR="007C4AB7">
        <w:rPr>
          <w:b/>
          <w:bCs/>
          <w:sz w:val="28"/>
          <w:szCs w:val="28"/>
        </w:rPr>
        <w:t>DLA OSÓB WYKONUJĄCYCH TRANSAKCJE OKAZJONALNE</w:t>
      </w:r>
      <w:r w:rsidRPr="00EE1654">
        <w:rPr>
          <w:b/>
          <w:bCs/>
          <w:sz w:val="28"/>
          <w:szCs w:val="28"/>
        </w:rPr>
        <w:br/>
      </w:r>
    </w:p>
    <w:p w14:paraId="00C0EC65" w14:textId="6A6F5F53" w:rsidR="007C4AB7" w:rsidRPr="007C4AB7" w:rsidRDefault="007C4AB7" w:rsidP="007C4AB7">
      <w:pPr>
        <w:spacing w:line="276" w:lineRule="auto"/>
        <w:ind w:left="360"/>
        <w:jc w:val="both"/>
        <w:rPr>
          <w:rFonts w:cstheme="minorHAnsi"/>
          <w:sz w:val="18"/>
          <w:szCs w:val="18"/>
        </w:rPr>
      </w:pPr>
      <w:r w:rsidRPr="007C4AB7">
        <w:rPr>
          <w:rFonts w:cstheme="minorHAnsi"/>
          <w:sz w:val="18"/>
          <w:szCs w:val="18"/>
        </w:rPr>
        <w:t>Na podstawie Rozporządzenia Parlamentu Europejskiego i Rady (UE) 2016/679 w sprawie ochrony osób fizycznych w związku z przetwarzaniem danych osobowych i w sprawie swobodnego przepływu takich danych oraz uchylenia dyrektywy 95/46/WE (ogólne rozporządzenie o ochronie danych, dalej: Rozporządzenie)</w:t>
      </w:r>
      <w:r w:rsidR="00CD752F">
        <w:rPr>
          <w:rFonts w:cstheme="minorHAnsi"/>
          <w:sz w:val="18"/>
          <w:szCs w:val="18"/>
        </w:rPr>
        <w:t xml:space="preserve"> Bank Spółdzielczy w Stegnie </w:t>
      </w:r>
      <w:r w:rsidRPr="007C4AB7">
        <w:rPr>
          <w:rFonts w:cstheme="minorHAnsi"/>
          <w:sz w:val="18"/>
          <w:szCs w:val="18"/>
        </w:rPr>
        <w:t>przedstawia następujące informacje:</w:t>
      </w:r>
    </w:p>
    <w:p w14:paraId="6B672506" w14:textId="77777777" w:rsidR="00766853" w:rsidRPr="00766853" w:rsidRDefault="00766853" w:rsidP="00766853">
      <w:pPr>
        <w:pStyle w:val="Akapitzlist"/>
        <w:numPr>
          <w:ilvl w:val="0"/>
          <w:numId w:val="10"/>
        </w:numPr>
        <w:jc w:val="both"/>
        <w:rPr>
          <w:rFonts w:cstheme="minorHAnsi"/>
          <w:b/>
        </w:rPr>
      </w:pPr>
      <w:r w:rsidRPr="00766853">
        <w:rPr>
          <w:b/>
        </w:rPr>
        <w:t xml:space="preserve">Administrator Danych Osobowych </w:t>
      </w:r>
    </w:p>
    <w:p w14:paraId="6F045222" w14:textId="04132AF2" w:rsidR="00766853" w:rsidRPr="00CD752F" w:rsidRDefault="00766853" w:rsidP="00766853">
      <w:pPr>
        <w:ind w:left="1080"/>
        <w:jc w:val="both"/>
      </w:pPr>
      <w:r w:rsidRPr="00CD752F">
        <w:t xml:space="preserve">Administratorem Pani/Pana danych osobowych jest Bank Spółdzielczy w </w:t>
      </w:r>
      <w:r w:rsidR="00CD752F" w:rsidRPr="00CD752F">
        <w:t>Stegnie</w:t>
      </w:r>
      <w:r w:rsidRPr="00CD752F">
        <w:t xml:space="preserve"> z siedzibą w </w:t>
      </w:r>
      <w:r w:rsidR="00CD752F" w:rsidRPr="00CD752F">
        <w:t>Stegnie,</w:t>
      </w:r>
      <w:r w:rsidRPr="00CD752F">
        <w:t xml:space="preserve"> ul. </w:t>
      </w:r>
      <w:r w:rsidR="00CD752F" w:rsidRPr="00CD752F">
        <w:t>Lipowa 8</w:t>
      </w:r>
      <w:r w:rsidRPr="00CD752F">
        <w:t xml:space="preserve">, </w:t>
      </w:r>
      <w:r w:rsidR="00CD752F" w:rsidRPr="00CD752F">
        <w:t>82-103 Stegna</w:t>
      </w:r>
      <w:r w:rsidRPr="00CD752F">
        <w:t xml:space="preserve"> tel.:</w:t>
      </w:r>
      <w:r w:rsidR="00CD752F" w:rsidRPr="00CD752F">
        <w:t xml:space="preserve"> 055-246-90-90</w:t>
      </w:r>
      <w:r w:rsidRPr="00CD752F">
        <w:t xml:space="preserve"> e-mail:</w:t>
      </w:r>
      <w:r w:rsidR="00CD752F" w:rsidRPr="00CD752F">
        <w:t xml:space="preserve"> sekretariat@bsstegna.pl</w:t>
      </w:r>
      <w:r w:rsidR="00C653FB" w:rsidRPr="00CD752F">
        <w:t xml:space="preserve"> (Bank)</w:t>
      </w:r>
    </w:p>
    <w:p w14:paraId="13CFE567" w14:textId="77777777" w:rsidR="00766853" w:rsidRPr="00CD752F" w:rsidRDefault="00766853" w:rsidP="00766853">
      <w:pPr>
        <w:pStyle w:val="Akapitzlist"/>
        <w:numPr>
          <w:ilvl w:val="0"/>
          <w:numId w:val="10"/>
        </w:numPr>
        <w:jc w:val="both"/>
      </w:pPr>
      <w:r w:rsidRPr="00CD752F">
        <w:rPr>
          <w:b/>
        </w:rPr>
        <w:t>Inspektor Ochrony Danych</w:t>
      </w:r>
      <w:r w:rsidRPr="00CD752F">
        <w:t xml:space="preserve"> </w:t>
      </w:r>
    </w:p>
    <w:p w14:paraId="29A06E6C" w14:textId="3717B6D4" w:rsidR="00766853" w:rsidRPr="00766853" w:rsidRDefault="00C653FB" w:rsidP="00766853">
      <w:pPr>
        <w:ind w:left="1080"/>
        <w:jc w:val="both"/>
      </w:pPr>
      <w:r w:rsidRPr="00CD752F">
        <w:t>Bank</w:t>
      </w:r>
      <w:r w:rsidR="00766853" w:rsidRPr="00CD752F">
        <w:t xml:space="preserve"> wyznaczył inspektora ochrony danych, z którym można się kontaktować pisząc na adres poczty elektronicznej: </w:t>
      </w:r>
      <w:hyperlink r:id="rId5" w:history="1">
        <w:r w:rsidR="00CD752F" w:rsidRPr="00CD752F">
          <w:rPr>
            <w:rStyle w:val="Hipercze"/>
          </w:rPr>
          <w:t>iodo@bsstegna.pl</w:t>
        </w:r>
      </w:hyperlink>
      <w:r w:rsidR="00766853" w:rsidRPr="00CD752F">
        <w:t xml:space="preserve"> lub pisemnie na</w:t>
      </w:r>
      <w:r w:rsidR="00766853" w:rsidRPr="00766853">
        <w:t xml:space="preserve"> adres administratora. </w:t>
      </w:r>
    </w:p>
    <w:p w14:paraId="0AB8DC16" w14:textId="77777777" w:rsidR="00766853" w:rsidRPr="00766853" w:rsidRDefault="00766853" w:rsidP="00766853">
      <w:pPr>
        <w:pStyle w:val="Akapitzlist"/>
        <w:numPr>
          <w:ilvl w:val="0"/>
          <w:numId w:val="10"/>
        </w:numPr>
        <w:jc w:val="both"/>
        <w:rPr>
          <w:rFonts w:cstheme="minorHAnsi"/>
          <w:b/>
        </w:rPr>
      </w:pPr>
      <w:r w:rsidRPr="00766853">
        <w:rPr>
          <w:rFonts w:cstheme="minorHAnsi"/>
          <w:b/>
        </w:rPr>
        <w:t>Kategorie danych</w:t>
      </w:r>
    </w:p>
    <w:p w14:paraId="1A86BFB6" w14:textId="77777777" w:rsidR="007C4AB7" w:rsidRPr="007C4AB7" w:rsidRDefault="007C4AB7" w:rsidP="007C4AB7">
      <w:pPr>
        <w:ind w:left="1080"/>
        <w:jc w:val="both"/>
        <w:rPr>
          <w:rFonts w:cstheme="minorHAnsi"/>
        </w:rPr>
      </w:pPr>
      <w:r w:rsidRPr="007C4AB7">
        <w:rPr>
          <w:rFonts w:cstheme="minorHAnsi"/>
        </w:rPr>
        <w:t>Bank przetwarza w szczególności następujące kategorie danych osobowych:</w:t>
      </w:r>
    </w:p>
    <w:p w14:paraId="69D0215D" w14:textId="77777777" w:rsidR="00CD752F" w:rsidRPr="00CD752F" w:rsidRDefault="00CD752F" w:rsidP="00CD752F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</w:rPr>
      </w:pPr>
      <w:r w:rsidRPr="00CD752F">
        <w:rPr>
          <w:rFonts w:ascii="Calibri" w:hAnsi="Calibri" w:cs="Calibri"/>
        </w:rPr>
        <w:t xml:space="preserve">nazwiska i imiona, obywatelstwo, PESEL, data urodzenia, kraj urodzenia,  rodzaj dokumentu tożsamości, seria i nr dokumentu tożsamości, adres zamieszkania, kod kraju w przypadku przedstawienia paszportu, w przypadku firmy - nr NIP, adres prowadzonej działalności gospodarczej, kategoria ryzyka </w:t>
      </w:r>
      <w:proofErr w:type="spellStart"/>
      <w:r w:rsidRPr="00CD752F">
        <w:rPr>
          <w:rFonts w:ascii="Calibri" w:hAnsi="Calibri" w:cs="Calibri"/>
        </w:rPr>
        <w:t>PPPiFT</w:t>
      </w:r>
      <w:proofErr w:type="spellEnd"/>
      <w:r w:rsidRPr="00CD752F">
        <w:rPr>
          <w:rFonts w:ascii="Calibri" w:hAnsi="Calibri" w:cs="Calibri"/>
        </w:rPr>
        <w:t>, informacja o PEP, informacje o stanie majątku, informacje o transakcjach,  płeć, adres do korespondencji, imię ojca i matki, nazwisko rodowe matki, wzór podpisu</w:t>
      </w:r>
    </w:p>
    <w:p w14:paraId="7632DF9A" w14:textId="77777777" w:rsidR="007C4AB7" w:rsidRPr="007C4AB7" w:rsidRDefault="007C4AB7" w:rsidP="007C4AB7">
      <w:pPr>
        <w:pStyle w:val="Akapitzlist"/>
        <w:ind w:left="1800"/>
        <w:jc w:val="both"/>
        <w:rPr>
          <w:rFonts w:cstheme="minorHAnsi"/>
          <w:bCs/>
        </w:rPr>
      </w:pPr>
    </w:p>
    <w:p w14:paraId="6C7A10A1" w14:textId="77777777" w:rsidR="00766853" w:rsidRPr="00766853" w:rsidRDefault="00766853" w:rsidP="00766853">
      <w:pPr>
        <w:pStyle w:val="Akapitzlist"/>
        <w:numPr>
          <w:ilvl w:val="0"/>
          <w:numId w:val="10"/>
        </w:numPr>
        <w:jc w:val="both"/>
        <w:rPr>
          <w:rFonts w:cstheme="minorHAnsi"/>
          <w:b/>
        </w:rPr>
      </w:pPr>
      <w:r w:rsidRPr="00766853">
        <w:rPr>
          <w:rFonts w:cstheme="minorHAnsi"/>
          <w:b/>
        </w:rPr>
        <w:t>Źródło danych</w:t>
      </w:r>
    </w:p>
    <w:p w14:paraId="21DCD412" w14:textId="6300C7DA" w:rsidR="00766853" w:rsidRPr="00766853" w:rsidRDefault="00766853" w:rsidP="00766853">
      <w:pPr>
        <w:ind w:left="1080"/>
        <w:jc w:val="both"/>
        <w:rPr>
          <w:rFonts w:cstheme="minorHAnsi"/>
          <w:bCs/>
        </w:rPr>
      </w:pPr>
      <w:r w:rsidRPr="00766853">
        <w:rPr>
          <w:rFonts w:cstheme="minorHAnsi"/>
          <w:bCs/>
        </w:rPr>
        <w:t xml:space="preserve">Pani/ Pana dane </w:t>
      </w:r>
      <w:r w:rsidR="00C653FB">
        <w:rPr>
          <w:rFonts w:cstheme="minorHAnsi"/>
          <w:bCs/>
        </w:rPr>
        <w:t>Bank</w:t>
      </w:r>
      <w:r w:rsidRPr="00766853">
        <w:rPr>
          <w:rFonts w:cstheme="minorHAnsi"/>
          <w:bCs/>
        </w:rPr>
        <w:t xml:space="preserve"> pozyskał/pozyskuje bezpośrednio od Pani/Pana.</w:t>
      </w:r>
    </w:p>
    <w:p w14:paraId="604BD87E" w14:textId="77777777" w:rsidR="00C653FB" w:rsidRPr="00766853" w:rsidRDefault="00C653FB" w:rsidP="00C653FB">
      <w:pPr>
        <w:pStyle w:val="Akapitzlist"/>
        <w:numPr>
          <w:ilvl w:val="0"/>
          <w:numId w:val="10"/>
        </w:numPr>
        <w:spacing w:before="120"/>
        <w:ind w:left="1077"/>
        <w:contextualSpacing w:val="0"/>
        <w:jc w:val="both"/>
        <w:rPr>
          <w:rFonts w:cstheme="minorHAnsi"/>
          <w:b/>
        </w:rPr>
      </w:pPr>
      <w:r w:rsidRPr="00766853">
        <w:rPr>
          <w:b/>
        </w:rPr>
        <w:t>Informacja o wymogu/dobrowolności podania danych</w:t>
      </w:r>
      <w:r w:rsidRPr="00766853">
        <w:t xml:space="preserve"> </w:t>
      </w:r>
    </w:p>
    <w:p w14:paraId="0559A821" w14:textId="77777777" w:rsidR="007C4AB7" w:rsidRPr="007C4AB7" w:rsidRDefault="007C4AB7" w:rsidP="007C4AB7">
      <w:pPr>
        <w:suppressAutoHyphens/>
        <w:spacing w:line="276" w:lineRule="auto"/>
        <w:ind w:left="1077"/>
        <w:jc w:val="both"/>
        <w:rPr>
          <w:rFonts w:eastAsia="Calibri" w:cstheme="minorHAnsi"/>
          <w:bCs/>
          <w:iCs/>
        </w:rPr>
      </w:pPr>
      <w:r w:rsidRPr="007C4AB7">
        <w:rPr>
          <w:rFonts w:eastAsia="Calibri" w:cstheme="minorHAnsi"/>
          <w:bCs/>
        </w:rPr>
        <w:t>Podanie danych osobowych przetwarzanych przez Administratora jest dobrowolne jednak niezbędne do podjęcia czynności zmierzających do wykonania transakcji okazjonalnej</w:t>
      </w:r>
      <w:r w:rsidRPr="007C4AB7">
        <w:rPr>
          <w:rFonts w:eastAsia="Calibri" w:cstheme="minorHAnsi"/>
          <w:bCs/>
          <w:iCs/>
        </w:rPr>
        <w:t xml:space="preserve">. </w:t>
      </w:r>
    </w:p>
    <w:p w14:paraId="5B93AFEF" w14:textId="36EDCEA8" w:rsidR="007C4AB7" w:rsidRDefault="007C4AB7" w:rsidP="007C4AB7">
      <w:pPr>
        <w:suppressAutoHyphens/>
        <w:spacing w:line="276" w:lineRule="auto"/>
        <w:ind w:left="1077"/>
        <w:jc w:val="both"/>
        <w:rPr>
          <w:rFonts w:eastAsia="Calibri" w:cstheme="minorHAnsi"/>
          <w:bCs/>
          <w:iCs/>
        </w:rPr>
      </w:pPr>
      <w:r w:rsidRPr="007C4AB7">
        <w:rPr>
          <w:rFonts w:eastAsia="Calibri" w:cstheme="minorHAnsi"/>
          <w:bCs/>
          <w:iCs/>
        </w:rPr>
        <w:t>Brak podania tych danych uniemożliwi zrealizowanie wskazanej transakcji.</w:t>
      </w:r>
    </w:p>
    <w:p w14:paraId="2FC07974" w14:textId="6E6C87F7" w:rsidR="00766853" w:rsidRPr="00766853" w:rsidRDefault="00766853" w:rsidP="00766853">
      <w:pPr>
        <w:pStyle w:val="Akapitzlist"/>
        <w:numPr>
          <w:ilvl w:val="0"/>
          <w:numId w:val="10"/>
        </w:numPr>
        <w:jc w:val="both"/>
        <w:rPr>
          <w:rFonts w:cstheme="minorHAnsi"/>
          <w:b/>
        </w:rPr>
      </w:pPr>
      <w:r w:rsidRPr="00766853">
        <w:rPr>
          <w:b/>
        </w:rPr>
        <w:t>Cele i podstawy przetwarzania</w:t>
      </w:r>
      <w:r w:rsidRPr="00766853">
        <w:t xml:space="preserve"> </w:t>
      </w:r>
    </w:p>
    <w:p w14:paraId="19565B64" w14:textId="77777777" w:rsidR="007C4AB7" w:rsidRPr="007C4AB7" w:rsidRDefault="007C4AB7" w:rsidP="007C4AB7">
      <w:pPr>
        <w:suppressAutoHyphens/>
        <w:spacing w:after="0"/>
        <w:ind w:left="1080"/>
        <w:jc w:val="both"/>
        <w:rPr>
          <w:rFonts w:eastAsia="Calibri" w:cstheme="minorHAnsi"/>
        </w:rPr>
      </w:pPr>
      <w:r w:rsidRPr="007C4AB7">
        <w:rPr>
          <w:rFonts w:eastAsia="Calibri" w:cstheme="minorHAnsi"/>
        </w:rPr>
        <w:t xml:space="preserve">Bank będzie przetwarzał Pani/Pana dane </w:t>
      </w:r>
      <w:r w:rsidRPr="007C4AB7">
        <w:rPr>
          <w:rFonts w:eastAsia="Calibri" w:cstheme="minorHAnsi"/>
          <w:iCs/>
        </w:rPr>
        <w:t>w celu:</w:t>
      </w:r>
    </w:p>
    <w:p w14:paraId="20FCDAAE" w14:textId="02C0F133" w:rsidR="007C4AB7" w:rsidRPr="007C4AB7" w:rsidRDefault="007C4AB7" w:rsidP="007C4AB7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eastAsia="Calibri" w:cstheme="minorHAnsi"/>
        </w:rPr>
      </w:pPr>
      <w:r w:rsidRPr="007C4AB7">
        <w:rPr>
          <w:rFonts w:eastAsia="Calibri" w:cstheme="minorHAnsi"/>
        </w:rPr>
        <w:t>jednorazowego wykonania czynności bankowej tj.. realizacji wpłaty gotówkowej (art. 6 ust. 1 lit. b Rozporządzenia),</w:t>
      </w:r>
    </w:p>
    <w:p w14:paraId="1F5E0667" w14:textId="77777777" w:rsidR="007C4AB7" w:rsidRPr="007C4AB7" w:rsidRDefault="007C4AB7" w:rsidP="007C4AB7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7C4AB7">
        <w:rPr>
          <w:rFonts w:cstheme="minorHAnsi"/>
        </w:rPr>
        <w:t>wypełnienia obowiązków prawnych związanych z przeciwdziałaniem praniu pieniędzy oraz finansowaniu terroryzmu w tym w szczególności zapewnienia przez Bank</w:t>
      </w:r>
      <w:r w:rsidRPr="007C4AB7">
        <w:rPr>
          <w:rFonts w:eastAsia="Times New Roman" w:cstheme="minorHAnsi"/>
        </w:rPr>
        <w:t>:</w:t>
      </w:r>
    </w:p>
    <w:p w14:paraId="752851F1" w14:textId="77777777" w:rsidR="007C4AB7" w:rsidRPr="007C4AB7" w:rsidRDefault="007C4AB7" w:rsidP="007C4AB7">
      <w:pPr>
        <w:pStyle w:val="Akapitzlist"/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C4AB7">
        <w:rPr>
          <w:rFonts w:eastAsia="Times New Roman" w:cstheme="minorHAnsi"/>
        </w:rPr>
        <w:t xml:space="preserve">stosowania wobec swoich klientów środków bezpieczeństwa finansowego (w tym: poprzez </w:t>
      </w:r>
      <w:r w:rsidRPr="007C4AB7">
        <w:rPr>
          <w:rFonts w:cstheme="minorHAnsi"/>
        </w:rPr>
        <w:t xml:space="preserve">identyfikowanie osoby upoważnionej do działania w imieniu klienta oraz weryfikowanie jej tożsamości i umocowania do działania w imieniu klienta oraz przetwarzania informacji zawartych w dokumentach tożsamości klienta i osoby upoważnionej do działania w </w:t>
      </w:r>
      <w:r w:rsidRPr="007C4AB7">
        <w:rPr>
          <w:rFonts w:cstheme="minorHAnsi"/>
        </w:rPr>
        <w:lastRenderedPageBreak/>
        <w:t>jego imieniu oraz sporządzania ich kopii).</w:t>
      </w:r>
    </w:p>
    <w:p w14:paraId="26DC710E" w14:textId="77777777" w:rsidR="007C4AB7" w:rsidRPr="007C4AB7" w:rsidRDefault="007C4AB7" w:rsidP="007C4AB7">
      <w:pPr>
        <w:pStyle w:val="Akapitzlist"/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C4AB7">
        <w:rPr>
          <w:rFonts w:eastAsia="Times New Roman" w:cstheme="minorHAnsi"/>
        </w:rPr>
        <w:t xml:space="preserve">rozpoznawania </w:t>
      </w:r>
      <w:bookmarkStart w:id="0" w:name="mip42525621"/>
      <w:bookmarkEnd w:id="0"/>
      <w:r w:rsidRPr="007C4AB7">
        <w:rPr>
          <w:rFonts w:eastAsia="Times New Roman" w:cstheme="minorHAnsi"/>
        </w:rPr>
        <w:t>ryzyka prania pieniędzy oraz finansowania terroryzmu związanego ze stosunkami gospodarczymi lub z transakcją okazjonalną oraz oceny poziomu rozpoznanego ryzyka</w:t>
      </w:r>
      <w:bookmarkStart w:id="1" w:name="mip42525622"/>
      <w:bookmarkEnd w:id="1"/>
      <w:r w:rsidRPr="007C4AB7">
        <w:rPr>
          <w:rFonts w:eastAsia="Times New Roman" w:cstheme="minorHAnsi"/>
        </w:rPr>
        <w:t xml:space="preserve">, </w:t>
      </w:r>
    </w:p>
    <w:p w14:paraId="71E9EC24" w14:textId="3EF1EB86" w:rsidR="007C4AB7" w:rsidRPr="007C4AB7" w:rsidRDefault="007C4AB7" w:rsidP="007C4AB7">
      <w:pPr>
        <w:pStyle w:val="Akapitzlist"/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C4AB7">
        <w:rPr>
          <w:rFonts w:eastAsia="Times New Roman" w:cstheme="minorHAnsi"/>
        </w:rPr>
        <w:t xml:space="preserve">dokumentowania rozpoznanego ryzyka prania pieniędzy oraz finansowania terroryzmu związanego ze stosunkami gospodarczymi lub z transakcją okazjonalną oraz jego oceny, w tym poprzez dokumentowanie </w:t>
      </w:r>
      <w:r w:rsidRPr="007C4AB7">
        <w:rPr>
          <w:rFonts w:cstheme="minorHAnsi"/>
        </w:rPr>
        <w:t>zastosowanych środków bezpieczeństwa finansowego oraz wyników bieżącej analizy przeprowadzanych transakcji, jak również wykazywania na żądanie organów o których mowa w art. 130 ustawy o przeciwdziałaniu praniu pieniędzy i finansowaniu terroryzmu, że przy uwzględnieniu poziomu rozpoznanego ryzyka prania pieniędzy oraz finansowania terroryzmu związanego z danymi stosunkami gospodarczymi lub transakcją okazjonalną zastosowały odpowiednie środki bezpieczeństwa finansowego (art. 6 ust. 1 lit. c Rozporządzenia)</w:t>
      </w:r>
    </w:p>
    <w:p w14:paraId="72340550" w14:textId="0860CCD3" w:rsidR="007C4AB7" w:rsidRPr="007C4AB7" w:rsidRDefault="00EF7F06" w:rsidP="007C4AB7">
      <w:pPr>
        <w:pStyle w:val="Akapitzlist"/>
        <w:numPr>
          <w:ilvl w:val="0"/>
          <w:numId w:val="21"/>
        </w:numPr>
        <w:jc w:val="both"/>
        <w:rPr>
          <w:rFonts w:cstheme="minorHAnsi"/>
          <w:b/>
        </w:rPr>
      </w:pPr>
      <w:r>
        <w:rPr>
          <w:rFonts w:eastAsia="Calibri" w:cstheme="minorHAnsi"/>
        </w:rPr>
        <w:t>Realizacji zapisów u</w:t>
      </w:r>
      <w:r w:rsidR="007C4AB7" w:rsidRPr="007C4AB7">
        <w:rPr>
          <w:rFonts w:eastAsia="Calibri" w:cstheme="minorHAnsi"/>
        </w:rPr>
        <w:t>staw</w:t>
      </w:r>
      <w:r>
        <w:rPr>
          <w:rFonts w:eastAsia="Calibri" w:cstheme="minorHAnsi"/>
        </w:rPr>
        <w:t>y</w:t>
      </w:r>
      <w:r w:rsidR="007C4AB7" w:rsidRPr="007C4AB7">
        <w:rPr>
          <w:rFonts w:eastAsia="Calibri" w:cstheme="minorHAnsi"/>
        </w:rPr>
        <w:t xml:space="preserve"> o rozpatrywaniu reklamacji przez podmioty rynku finansowego, dochodzenia lub obrony roszczeń (6 ust. 1 lit. f Rozporządzenia).</w:t>
      </w:r>
    </w:p>
    <w:p w14:paraId="14657BE5" w14:textId="77777777" w:rsidR="007C4AB7" w:rsidRPr="007C4AB7" w:rsidRDefault="007C4AB7" w:rsidP="007C4AB7">
      <w:pPr>
        <w:pStyle w:val="Akapitzlist"/>
        <w:ind w:left="1800"/>
        <w:jc w:val="both"/>
        <w:rPr>
          <w:rFonts w:cstheme="minorHAnsi"/>
          <w:b/>
        </w:rPr>
      </w:pPr>
    </w:p>
    <w:p w14:paraId="320D41E5" w14:textId="4D6D3917" w:rsidR="00766853" w:rsidRPr="00766853" w:rsidRDefault="00766853" w:rsidP="007C4AB7">
      <w:pPr>
        <w:pStyle w:val="Akapitzlist"/>
        <w:numPr>
          <w:ilvl w:val="0"/>
          <w:numId w:val="10"/>
        </w:numPr>
        <w:jc w:val="both"/>
        <w:rPr>
          <w:rFonts w:cstheme="minorHAnsi"/>
          <w:b/>
        </w:rPr>
      </w:pPr>
      <w:r w:rsidRPr="00766853">
        <w:rPr>
          <w:b/>
        </w:rPr>
        <w:t>Okres przechowywania danych</w:t>
      </w:r>
      <w:r w:rsidRPr="00766853">
        <w:t xml:space="preserve"> </w:t>
      </w:r>
    </w:p>
    <w:p w14:paraId="7141511B" w14:textId="1ED4C5FA" w:rsidR="007C4AB7" w:rsidRPr="007C4AB7" w:rsidRDefault="007C4AB7" w:rsidP="007C4AB7">
      <w:pPr>
        <w:spacing w:line="276" w:lineRule="auto"/>
        <w:ind w:left="1068"/>
        <w:rPr>
          <w:rFonts w:cstheme="minorHAnsi"/>
        </w:rPr>
      </w:pPr>
      <w:r w:rsidRPr="007C4AB7">
        <w:rPr>
          <w:rFonts w:cstheme="minorHAnsi"/>
        </w:rPr>
        <w:t>Pani/Pana dane osobowe będą przechowywan</w:t>
      </w:r>
      <w:r w:rsidR="00EF7F06">
        <w:rPr>
          <w:rFonts w:cstheme="minorHAnsi"/>
        </w:rPr>
        <w:t>e:</w:t>
      </w:r>
    </w:p>
    <w:p w14:paraId="71D15D96" w14:textId="5EF7EA2C" w:rsidR="007C4AB7" w:rsidRPr="007C4AB7" w:rsidRDefault="007C4AB7" w:rsidP="007C4AB7">
      <w:pPr>
        <w:numPr>
          <w:ilvl w:val="0"/>
          <w:numId w:val="19"/>
        </w:numPr>
        <w:spacing w:after="0" w:line="240" w:lineRule="auto"/>
        <w:ind w:left="1428"/>
        <w:rPr>
          <w:rFonts w:cstheme="minorHAnsi"/>
        </w:rPr>
      </w:pPr>
      <w:r w:rsidRPr="007C4AB7">
        <w:rPr>
          <w:rFonts w:cstheme="minorHAnsi"/>
        </w:rPr>
        <w:t xml:space="preserve">w związku z prowadzeniem działalności bankowej– przez okres, w jakim przepisy prawa nakazują bankom przechowywanie dokumentacji i wypełnianie obowiązków z nich wynikających, w szczególności: </w:t>
      </w:r>
    </w:p>
    <w:p w14:paraId="14D9509B" w14:textId="77777777" w:rsidR="007C4AB7" w:rsidRPr="007C4AB7" w:rsidRDefault="007C4AB7" w:rsidP="007C4AB7">
      <w:pPr>
        <w:numPr>
          <w:ilvl w:val="2"/>
          <w:numId w:val="22"/>
        </w:numPr>
        <w:spacing w:after="0" w:line="240" w:lineRule="auto"/>
        <w:ind w:left="2160"/>
        <w:jc w:val="both"/>
        <w:rPr>
          <w:rFonts w:eastAsia="Times New Roman" w:cstheme="minorHAnsi"/>
          <w:bCs/>
          <w:color w:val="272727"/>
          <w:lang w:eastAsia="pl-PL"/>
        </w:rPr>
      </w:pPr>
      <w:r w:rsidRPr="007C4AB7">
        <w:rPr>
          <w:rFonts w:cstheme="minorHAnsi"/>
        </w:rPr>
        <w:t>dla dokumentacji podatkowej – przez okres 5 lat licząc od końca roku kalendarzowego, w którym upłynął termin płatności podatku,</w:t>
      </w:r>
    </w:p>
    <w:p w14:paraId="7154D83A" w14:textId="27CD94FC" w:rsidR="007C4AB7" w:rsidRPr="007C4AB7" w:rsidRDefault="007C4AB7" w:rsidP="007C4AB7">
      <w:pPr>
        <w:numPr>
          <w:ilvl w:val="2"/>
          <w:numId w:val="22"/>
        </w:numPr>
        <w:spacing w:after="0" w:line="240" w:lineRule="auto"/>
        <w:ind w:left="2160"/>
        <w:jc w:val="both"/>
        <w:rPr>
          <w:rFonts w:eastAsia="Times New Roman" w:cstheme="minorHAnsi"/>
          <w:bCs/>
          <w:color w:val="272727"/>
          <w:lang w:eastAsia="pl-PL"/>
        </w:rPr>
      </w:pPr>
      <w:r w:rsidRPr="007C4AB7">
        <w:rPr>
          <w:rFonts w:cstheme="minorHAnsi"/>
        </w:rPr>
        <w:t>dla dokumentacji księgowej – przez okres 5 lat licząc od końca roku kalendarzowego, w którym transakcje, operacje i toczące się postępowanie w tym zakresie zostało zakończone, spłacone, rozliczone lub przedawnione,</w:t>
      </w:r>
    </w:p>
    <w:p w14:paraId="21E7FAE7" w14:textId="6DF01B3B" w:rsidR="007C4AB7" w:rsidRPr="007C4AB7" w:rsidRDefault="007C4AB7" w:rsidP="007C4AB7">
      <w:pPr>
        <w:numPr>
          <w:ilvl w:val="2"/>
          <w:numId w:val="22"/>
        </w:numPr>
        <w:spacing w:after="0" w:line="240" w:lineRule="auto"/>
        <w:ind w:left="2160"/>
        <w:jc w:val="both"/>
        <w:rPr>
          <w:rFonts w:eastAsia="Times New Roman" w:cstheme="minorHAnsi"/>
          <w:bCs/>
          <w:color w:val="272727"/>
          <w:lang w:eastAsia="pl-PL"/>
        </w:rPr>
      </w:pPr>
      <w:r w:rsidRPr="007C4AB7">
        <w:rPr>
          <w:rFonts w:cstheme="minorHAnsi"/>
        </w:rPr>
        <w:t xml:space="preserve">dla dokumentacji związanej z przeciwdziałaniem praniu pieniędzy </w:t>
      </w:r>
      <w:r w:rsidRPr="007C4AB7">
        <w:rPr>
          <w:rFonts w:cstheme="minorHAnsi"/>
        </w:rPr>
        <w:br/>
        <w:t>i finansowaniu terroryzmu – przez okres 5 lat licząc od dnia zakończenia stosunków gospodarczych z klientem lub od dnia przeprowadzenia transakcji okazjonalnej, , w obu tych przypadkach na  żądanie Generalnego Inspektora Informacji Finansowej złożone przed upływem okresu, o którym mowa wyżej, Pani/ Pana dane osobowe będą przechowywane przez kolejny okres nie dłuższy niż 5 lat, licząc od dnia, w którym upływa okres, jeżeli jest to konieczne w celu przeciwdziałania praniu pieniędzy lub finansowaniu terroryzmu</w:t>
      </w:r>
    </w:p>
    <w:p w14:paraId="7FE59D3C" w14:textId="6FF6019A" w:rsidR="007C4AB7" w:rsidRPr="007C4AB7" w:rsidRDefault="007C4AB7" w:rsidP="007C4AB7">
      <w:pPr>
        <w:numPr>
          <w:ilvl w:val="0"/>
          <w:numId w:val="19"/>
        </w:numPr>
        <w:spacing w:after="0" w:line="240" w:lineRule="auto"/>
        <w:ind w:left="1418"/>
        <w:jc w:val="both"/>
        <w:rPr>
          <w:rFonts w:eastAsia="Times New Roman" w:cstheme="minorHAnsi"/>
          <w:bCs/>
          <w:color w:val="272727"/>
          <w:lang w:eastAsia="pl-PL"/>
        </w:rPr>
      </w:pPr>
      <w:r w:rsidRPr="007C4AB7">
        <w:rPr>
          <w:rFonts w:cstheme="minorHAnsi"/>
        </w:rPr>
        <w:t xml:space="preserve"> zakresie ustalenia i dochodzenia roszczeń lub obrony przed zgłoszonymi roszczeniami – do momentu przedawnienia potencjalnych roszczeń wynikających z wykonanej transakcji okazjonalnej.</w:t>
      </w:r>
    </w:p>
    <w:p w14:paraId="4BA87318" w14:textId="77777777" w:rsidR="007C4AB7" w:rsidRPr="007C4AB7" w:rsidRDefault="007C4AB7" w:rsidP="007C4AB7">
      <w:pPr>
        <w:spacing w:after="0" w:line="240" w:lineRule="auto"/>
        <w:ind w:left="1068"/>
        <w:jc w:val="both"/>
        <w:rPr>
          <w:rFonts w:eastAsia="Times New Roman" w:cstheme="minorHAnsi"/>
          <w:bCs/>
          <w:color w:val="272727"/>
          <w:lang w:eastAsia="pl-PL"/>
        </w:rPr>
      </w:pPr>
    </w:p>
    <w:p w14:paraId="1DE5836C" w14:textId="77777777" w:rsidR="00766853" w:rsidRPr="00766853" w:rsidRDefault="00766853" w:rsidP="00766853">
      <w:pPr>
        <w:pStyle w:val="Akapitzlist"/>
        <w:numPr>
          <w:ilvl w:val="0"/>
          <w:numId w:val="10"/>
        </w:numPr>
        <w:jc w:val="both"/>
        <w:rPr>
          <w:rFonts w:cstheme="minorHAnsi"/>
          <w:b/>
        </w:rPr>
      </w:pPr>
      <w:r w:rsidRPr="00766853">
        <w:rPr>
          <w:b/>
        </w:rPr>
        <w:t>Odbiorcy danych</w:t>
      </w:r>
      <w:r w:rsidRPr="00766853">
        <w:t xml:space="preserve"> </w:t>
      </w:r>
    </w:p>
    <w:p w14:paraId="7C480803" w14:textId="77777777" w:rsidR="007C4AB7" w:rsidRPr="007C4AB7" w:rsidRDefault="007C4AB7" w:rsidP="007C4AB7">
      <w:pPr>
        <w:autoSpaceDE w:val="0"/>
        <w:autoSpaceDN w:val="0"/>
        <w:adjustRightInd w:val="0"/>
        <w:spacing w:line="240" w:lineRule="auto"/>
        <w:ind w:left="1080"/>
        <w:jc w:val="both"/>
        <w:rPr>
          <w:rFonts w:cstheme="minorHAnsi"/>
        </w:rPr>
      </w:pPr>
      <w:r w:rsidRPr="007C4AB7">
        <w:rPr>
          <w:rFonts w:cstheme="minorHAnsi"/>
        </w:rPr>
        <w:t>Odbiorcami Pani/Pana danych w zakresie działań przewidzianych Ustawą o przeciwdziałaniu praniu pieniędzy są:</w:t>
      </w:r>
    </w:p>
    <w:p w14:paraId="72685824" w14:textId="77777777" w:rsidR="007C4AB7" w:rsidRPr="007C4AB7" w:rsidRDefault="007C4AB7" w:rsidP="007C4AB7">
      <w:pPr>
        <w:pStyle w:val="Akapitzlist"/>
        <w:widowControl w:val="0"/>
        <w:numPr>
          <w:ilvl w:val="0"/>
          <w:numId w:val="24"/>
        </w:numPr>
        <w:spacing w:after="0" w:line="240" w:lineRule="auto"/>
        <w:rPr>
          <w:rFonts w:eastAsia="Times New Roman" w:cstheme="minorHAnsi"/>
        </w:rPr>
      </w:pPr>
      <w:r w:rsidRPr="007C4AB7">
        <w:rPr>
          <w:rFonts w:eastAsia="Times New Roman" w:cstheme="minorHAnsi"/>
        </w:rPr>
        <w:t>Generalny Inspektor Informacji Finansowej (GIIF)</w:t>
      </w:r>
    </w:p>
    <w:p w14:paraId="280A636D" w14:textId="77777777" w:rsidR="007C4AB7" w:rsidRPr="007C4AB7" w:rsidRDefault="007C4AB7" w:rsidP="007C4AB7">
      <w:pPr>
        <w:pStyle w:val="Akapitzlist"/>
        <w:widowControl w:val="0"/>
        <w:numPr>
          <w:ilvl w:val="0"/>
          <w:numId w:val="24"/>
        </w:numPr>
        <w:spacing w:after="0" w:line="240" w:lineRule="auto"/>
        <w:rPr>
          <w:rFonts w:eastAsia="Times New Roman" w:cstheme="minorHAnsi"/>
        </w:rPr>
      </w:pPr>
      <w:r w:rsidRPr="007C4AB7">
        <w:rPr>
          <w:rFonts w:eastAsia="Times New Roman" w:cstheme="minorHAnsi"/>
        </w:rPr>
        <w:t>Bank Zrzeszający: SGB-Bank S.A.</w:t>
      </w:r>
    </w:p>
    <w:p w14:paraId="167301A8" w14:textId="77777777" w:rsidR="007C4AB7" w:rsidRDefault="007C4AB7" w:rsidP="007C4AB7">
      <w:pPr>
        <w:suppressAutoHyphens/>
        <w:spacing w:after="0" w:line="240" w:lineRule="auto"/>
        <w:ind w:left="1080"/>
        <w:jc w:val="both"/>
        <w:rPr>
          <w:rFonts w:eastAsia="Calibri" w:cstheme="minorHAnsi"/>
        </w:rPr>
      </w:pPr>
    </w:p>
    <w:p w14:paraId="341E6382" w14:textId="77777777" w:rsidR="00EF7F06" w:rsidRDefault="007C4AB7" w:rsidP="007C4AB7">
      <w:pPr>
        <w:suppressAutoHyphens/>
        <w:spacing w:after="0" w:line="240" w:lineRule="auto"/>
        <w:ind w:left="1080"/>
        <w:jc w:val="both"/>
        <w:rPr>
          <w:rFonts w:cstheme="minorHAnsi"/>
        </w:rPr>
      </w:pPr>
      <w:r w:rsidRPr="007C4AB7">
        <w:rPr>
          <w:rFonts w:eastAsia="Calibri" w:cstheme="minorHAnsi"/>
        </w:rPr>
        <w:t xml:space="preserve">Ponadto </w:t>
      </w:r>
      <w:r w:rsidRPr="007C4AB7">
        <w:rPr>
          <w:rFonts w:cstheme="minorHAnsi"/>
        </w:rPr>
        <w:t xml:space="preserve">na podstawie informacji przekazanych przez Bank do GIIF, Klient może zostać umieszczony na listach sankcyjnych. Listy te dostępne są dla wszystkich instytucji </w:t>
      </w:r>
      <w:r w:rsidRPr="007C4AB7">
        <w:rPr>
          <w:rFonts w:cstheme="minorHAnsi"/>
        </w:rPr>
        <w:lastRenderedPageBreak/>
        <w:t xml:space="preserve">finansowych. Na listę sankcji trafia osoba lub organizacja, która brała udział w nielegalnej działalności lub ją wspierała (pranie pieniędzy, terroryzm, handel narkotykami). </w:t>
      </w:r>
    </w:p>
    <w:p w14:paraId="31951A4D" w14:textId="63BBBBBE" w:rsidR="007C4AB7" w:rsidRDefault="007C4AB7" w:rsidP="007C4AB7">
      <w:pPr>
        <w:suppressAutoHyphens/>
        <w:spacing w:after="0" w:line="240" w:lineRule="auto"/>
        <w:ind w:left="1080"/>
        <w:jc w:val="both"/>
        <w:rPr>
          <w:rFonts w:cstheme="minorHAnsi"/>
        </w:rPr>
      </w:pPr>
      <w:r w:rsidRPr="007C4AB7">
        <w:rPr>
          <w:rFonts w:cstheme="minorHAnsi"/>
        </w:rPr>
        <w:t>Na listach sankcyjnych znajdują się zarówno organizacje, jak i konkretne osoby wymienione z imienia i nazwiska.</w:t>
      </w:r>
    </w:p>
    <w:p w14:paraId="5DCB6043" w14:textId="77777777" w:rsidR="007C4AB7" w:rsidRPr="007C4AB7" w:rsidRDefault="007C4AB7" w:rsidP="007C4AB7">
      <w:pPr>
        <w:suppressAutoHyphens/>
        <w:spacing w:after="0" w:line="240" w:lineRule="auto"/>
        <w:ind w:left="1080"/>
        <w:jc w:val="both"/>
        <w:rPr>
          <w:rFonts w:eastAsia="Calibri" w:cstheme="minorHAnsi"/>
        </w:rPr>
      </w:pPr>
    </w:p>
    <w:p w14:paraId="1D339BF1" w14:textId="71B59332" w:rsidR="007C4AB7" w:rsidRPr="007C4AB7" w:rsidRDefault="007C4AB7" w:rsidP="007C4AB7">
      <w:pPr>
        <w:ind w:left="1080"/>
        <w:jc w:val="both"/>
        <w:rPr>
          <w:rFonts w:cstheme="minorHAnsi"/>
          <w:b/>
        </w:rPr>
      </w:pPr>
      <w:r w:rsidRPr="007C4AB7">
        <w:rPr>
          <w:rFonts w:eastAsia="Calibri" w:cstheme="minorHAnsi"/>
        </w:rPr>
        <w:t>Dodatkowo Pani/Pana mogą być też udostępniane przez Bank podmiotom upoważnionym do odbioru danych osobowych na podstawie odpowiednich przepisów prawa, podmiotom świadczącym na rzecz Banku usługi w obszarze teleinformatycznym lub technicznym, usługi audytorskie, prawne lub doradcze oraz innym podmiotom przetwarzającym dane osobowe na zlecenie Banku.</w:t>
      </w:r>
    </w:p>
    <w:p w14:paraId="7926C20F" w14:textId="77777777" w:rsidR="007C4AB7" w:rsidRDefault="007C4AB7" w:rsidP="007C4AB7">
      <w:pPr>
        <w:pStyle w:val="Akapitzlist"/>
        <w:numPr>
          <w:ilvl w:val="0"/>
          <w:numId w:val="10"/>
        </w:numPr>
        <w:jc w:val="both"/>
        <w:rPr>
          <w:b/>
        </w:rPr>
      </w:pPr>
      <w:r w:rsidRPr="005B4A40">
        <w:rPr>
          <w:b/>
        </w:rPr>
        <w:t>Profilowanie oraz zautomatyzowane podejmowanie decyzji</w:t>
      </w:r>
    </w:p>
    <w:p w14:paraId="44C72FBC" w14:textId="0CDC32E5" w:rsidR="007C4AB7" w:rsidRDefault="007C4AB7" w:rsidP="007C4AB7">
      <w:pPr>
        <w:suppressAutoHyphens/>
        <w:spacing w:before="120" w:after="120" w:line="276" w:lineRule="auto"/>
        <w:ind w:left="1080"/>
        <w:contextualSpacing/>
        <w:jc w:val="both"/>
        <w:rPr>
          <w:rFonts w:eastAsia="Calibri" w:cstheme="minorHAnsi"/>
        </w:rPr>
      </w:pPr>
      <w:bookmarkStart w:id="2" w:name="_Hlk126663411"/>
      <w:r w:rsidRPr="007C4AB7">
        <w:rPr>
          <w:rFonts w:eastAsia="Calibri" w:cstheme="minorHAnsi"/>
        </w:rPr>
        <w:t>Pani/Pana dane osobowe mogą być przetwarzane w sposób zautomatyzowany poprzez wykorzystanie specjalistycznych baz danych gromadzących informacje z zakresu objętego ustawą o praniu brudnych pieniędzy i przeciwdziałaniu finansowania terroryzmu, w tym będą przeprowadzane oceny co do profilu transakcji oraz klienta, na podstawie których podejmowane będą decyzje dotyczące dalszego postepowania w tym zgłoszenia transakcji do GIIF.</w:t>
      </w:r>
    </w:p>
    <w:p w14:paraId="2D0C5CC9" w14:textId="77777777" w:rsidR="007C4AB7" w:rsidRPr="007C4AB7" w:rsidRDefault="007C4AB7" w:rsidP="007C4AB7">
      <w:pPr>
        <w:suppressAutoHyphens/>
        <w:spacing w:before="120" w:after="120" w:line="276" w:lineRule="auto"/>
        <w:ind w:left="1080"/>
        <w:contextualSpacing/>
        <w:jc w:val="both"/>
        <w:rPr>
          <w:rFonts w:eastAsia="Calibri" w:cstheme="minorHAnsi"/>
        </w:rPr>
      </w:pPr>
    </w:p>
    <w:p w14:paraId="05C7799B" w14:textId="287F25E0" w:rsidR="007C4AB7" w:rsidRPr="007C4AB7" w:rsidRDefault="007C4AB7" w:rsidP="007C4AB7">
      <w:pPr>
        <w:ind w:left="1080"/>
        <w:jc w:val="both"/>
        <w:rPr>
          <w:rFonts w:cstheme="minorHAnsi"/>
          <w:b/>
        </w:rPr>
      </w:pPr>
      <w:r w:rsidRPr="007C4AB7">
        <w:rPr>
          <w:rFonts w:cstheme="minorHAnsi"/>
        </w:rPr>
        <w:t>Jeżeli klient, w wyniku działalności niezgodnej z prawem trafi na listę sankcyjną,  nie jest możliwe nawiązanie z nim współpracy. Za złamanie sankcji grożą poważne kary. Każda transakcja z udziałem klienta, który występuje na liście sankcyjnej, musi być zgłaszana do GIIF.</w:t>
      </w:r>
      <w:bookmarkEnd w:id="2"/>
    </w:p>
    <w:p w14:paraId="699264F4" w14:textId="1EC3A81F" w:rsidR="00766853" w:rsidRPr="00766853" w:rsidRDefault="00766853" w:rsidP="007C4AB7">
      <w:pPr>
        <w:pStyle w:val="Akapitzlist"/>
        <w:numPr>
          <w:ilvl w:val="0"/>
          <w:numId w:val="10"/>
        </w:numPr>
        <w:jc w:val="both"/>
        <w:rPr>
          <w:rFonts w:cstheme="minorHAnsi"/>
          <w:b/>
        </w:rPr>
      </w:pPr>
      <w:r w:rsidRPr="00766853">
        <w:rPr>
          <w:b/>
        </w:rPr>
        <w:t>Prawa osób, których dane dotyczą</w:t>
      </w:r>
      <w:r w:rsidRPr="00766853">
        <w:t xml:space="preserve"> </w:t>
      </w:r>
    </w:p>
    <w:p w14:paraId="4C909BAB" w14:textId="77777777" w:rsidR="007C4AB7" w:rsidRPr="007C4AB7" w:rsidRDefault="007C4AB7" w:rsidP="007C4AB7">
      <w:pPr>
        <w:spacing w:line="276" w:lineRule="auto"/>
        <w:ind w:left="1080"/>
        <w:jc w:val="both"/>
        <w:rPr>
          <w:rFonts w:eastAsia="Calibri" w:cstheme="minorHAnsi"/>
        </w:rPr>
      </w:pPr>
      <w:r w:rsidRPr="007C4AB7">
        <w:rPr>
          <w:rFonts w:eastAsia="Calibri" w:cstheme="minorHAnsi"/>
        </w:rPr>
        <w:t>Zgodnie z Rozporządzeniem przysługuje Pani/Panu prawo do:</w:t>
      </w:r>
    </w:p>
    <w:p w14:paraId="62B0DAB7" w14:textId="77777777" w:rsidR="007C4AB7" w:rsidRPr="007C4AB7" w:rsidRDefault="007C4AB7" w:rsidP="007C4AB7">
      <w:pPr>
        <w:numPr>
          <w:ilvl w:val="0"/>
          <w:numId w:val="25"/>
        </w:numPr>
        <w:spacing w:after="0" w:line="276" w:lineRule="auto"/>
        <w:ind w:left="1416" w:hanging="357"/>
        <w:jc w:val="both"/>
        <w:rPr>
          <w:rFonts w:eastAsia="Calibri" w:cstheme="minorHAnsi"/>
        </w:rPr>
      </w:pPr>
      <w:r w:rsidRPr="007C4AB7">
        <w:rPr>
          <w:rFonts w:eastAsia="Calibri" w:cstheme="minorHAnsi"/>
        </w:rPr>
        <w:t>uzyskania potwierdzenia czy Pani/ Pana dane są przetwarzane przez Bank, a także prawo dostępu do Pani/Pana danych (art. 15 Rozporządzenia),</w:t>
      </w:r>
    </w:p>
    <w:p w14:paraId="35C39864" w14:textId="35BB7AB7" w:rsidR="007C4AB7" w:rsidRPr="007C4AB7" w:rsidRDefault="007C4AB7" w:rsidP="007C4AB7">
      <w:pPr>
        <w:numPr>
          <w:ilvl w:val="0"/>
          <w:numId w:val="25"/>
        </w:numPr>
        <w:spacing w:after="0" w:line="276" w:lineRule="auto"/>
        <w:ind w:left="1416" w:hanging="357"/>
        <w:jc w:val="both"/>
        <w:rPr>
          <w:rFonts w:eastAsia="Calibri" w:cstheme="minorHAnsi"/>
        </w:rPr>
      </w:pPr>
      <w:r w:rsidRPr="007C4AB7">
        <w:rPr>
          <w:rFonts w:eastAsia="Calibri" w:cstheme="minorHAnsi"/>
        </w:rPr>
        <w:t>sprostowania oraz uzupełnienia Pani/Pana danych (art. 16 Rozporządzenia),</w:t>
      </w:r>
    </w:p>
    <w:p w14:paraId="2BB9FC1C" w14:textId="127492B0" w:rsidR="007C4AB7" w:rsidRPr="007C4AB7" w:rsidRDefault="007C4AB7" w:rsidP="007C4AB7">
      <w:pPr>
        <w:numPr>
          <w:ilvl w:val="0"/>
          <w:numId w:val="25"/>
        </w:numPr>
        <w:spacing w:after="0" w:line="276" w:lineRule="auto"/>
        <w:ind w:left="1416" w:hanging="357"/>
        <w:jc w:val="both"/>
        <w:rPr>
          <w:rFonts w:eastAsia="Calibri" w:cstheme="minorHAnsi"/>
        </w:rPr>
      </w:pPr>
      <w:r w:rsidRPr="007C4AB7">
        <w:rPr>
          <w:rFonts w:eastAsia="Calibri" w:cstheme="minorHAnsi"/>
        </w:rPr>
        <w:t>usunięcia Pani/ Pana danych (art. 17 Rozporządzenia),</w:t>
      </w:r>
    </w:p>
    <w:p w14:paraId="19099877" w14:textId="3B5E22C8" w:rsidR="007C4AB7" w:rsidRDefault="007C4AB7" w:rsidP="007C4AB7">
      <w:pPr>
        <w:numPr>
          <w:ilvl w:val="0"/>
          <w:numId w:val="25"/>
        </w:numPr>
        <w:spacing w:after="0" w:line="276" w:lineRule="auto"/>
        <w:ind w:left="1416" w:hanging="357"/>
        <w:jc w:val="both"/>
        <w:rPr>
          <w:rFonts w:eastAsia="Calibri" w:cstheme="minorHAnsi"/>
        </w:rPr>
      </w:pPr>
      <w:r w:rsidRPr="007C4AB7">
        <w:rPr>
          <w:rFonts w:eastAsia="Calibri" w:cstheme="minorHAnsi"/>
        </w:rPr>
        <w:t>żądania ograniczenia przetwarzania Pani/ Pana danych (art. 18 Rozporządzenia)</w:t>
      </w:r>
      <w:r>
        <w:rPr>
          <w:rFonts w:eastAsia="Calibri" w:cstheme="minorHAnsi"/>
        </w:rPr>
        <w:t>.</w:t>
      </w:r>
    </w:p>
    <w:p w14:paraId="25692FA5" w14:textId="77777777" w:rsidR="007C4AB7" w:rsidRPr="007C4AB7" w:rsidRDefault="007C4AB7" w:rsidP="007C4AB7">
      <w:pPr>
        <w:spacing w:after="0" w:line="276" w:lineRule="auto"/>
        <w:ind w:left="1416"/>
        <w:jc w:val="both"/>
        <w:rPr>
          <w:rFonts w:eastAsia="Calibri" w:cstheme="minorHAnsi"/>
        </w:rPr>
      </w:pPr>
    </w:p>
    <w:p w14:paraId="202ABBFD" w14:textId="23ADB3DC" w:rsidR="007C4AB7" w:rsidRPr="007C4AB7" w:rsidRDefault="007C4AB7" w:rsidP="007C4AB7">
      <w:pPr>
        <w:ind w:left="1059"/>
        <w:jc w:val="both"/>
        <w:rPr>
          <w:rFonts w:eastAsia="Calibri" w:cstheme="minorHAnsi"/>
        </w:rPr>
      </w:pPr>
      <w:r w:rsidRPr="007C4AB7">
        <w:rPr>
          <w:rFonts w:eastAsia="Calibri" w:cstheme="minorHAnsi"/>
        </w:rPr>
        <w:t>Ma Pani/Pan prawo wniesienia w dowolnym momencie sprzeciwu - z przyczyn związanych z Pani/Pana szczególną sytuacją - wobec przetwarzania Pani/ Pana danych w celu realizacji prawnie uzasadnionych interesów Administratora. W takim przypadku Bank może przetwarzać dane, o ile wykaże istnienie ważnych prawnie uzasadnionych podstaw do przetwarzania, nadrzędnych wobec Pani/Pana interesów, praw i wolności lub podstaw do ustalenia, dochodzenia lub obrony roszczeń (art. 21 ust. 1 Rozporządzenia).</w:t>
      </w:r>
    </w:p>
    <w:p w14:paraId="3EA9BEA8" w14:textId="001403ED" w:rsidR="007C4AB7" w:rsidRPr="007C4AB7" w:rsidRDefault="007C4AB7" w:rsidP="007C4AB7">
      <w:pPr>
        <w:ind w:left="1059" w:firstLine="9"/>
        <w:jc w:val="both"/>
        <w:rPr>
          <w:rFonts w:eastAsia="Times New Roman" w:cstheme="minorHAnsi"/>
          <w:bCs/>
          <w:color w:val="272727"/>
          <w:lang w:eastAsia="pl-PL"/>
        </w:rPr>
      </w:pPr>
      <w:r w:rsidRPr="007C4AB7">
        <w:rPr>
          <w:rFonts w:eastAsia="Calibri" w:cstheme="minorHAnsi"/>
        </w:rPr>
        <w:t xml:space="preserve">Przysługuje Pani/Panu również prawo do wniesienia skargi do Prezesa Urzędu Ochrony Danych Osobowych </w:t>
      </w:r>
      <w:r w:rsidRPr="007C4AB7">
        <w:rPr>
          <w:rFonts w:cstheme="minorHAnsi"/>
        </w:rPr>
        <w:t>Urząd Ochrony Danych Osobowych, ul. Stawki 2, 00-193 Warszawa, https://iodo.gov.pl</w:t>
      </w:r>
      <w:r w:rsidRPr="007C4AB7">
        <w:rPr>
          <w:rFonts w:eastAsia="Calibri" w:cstheme="minorHAnsi"/>
        </w:rPr>
        <w:t xml:space="preserve"> w sytuacji, gdy istnieje podejrzenie, że przetwarzanie Pani/Pana danych osobowych narusza przepisy o ochronie danych osobowych.</w:t>
      </w:r>
    </w:p>
    <w:p w14:paraId="5F3B0E60" w14:textId="3AFDCAE7" w:rsidR="00766853" w:rsidRPr="00766853" w:rsidRDefault="005B4A40" w:rsidP="00766853">
      <w:pPr>
        <w:pStyle w:val="Akapitzlist"/>
        <w:numPr>
          <w:ilvl w:val="0"/>
          <w:numId w:val="10"/>
        </w:numPr>
        <w:jc w:val="both"/>
        <w:rPr>
          <w:rFonts w:cstheme="minorHAnsi"/>
          <w:b/>
        </w:rPr>
      </w:pPr>
      <w:r w:rsidRPr="005B4A40">
        <w:rPr>
          <w:b/>
        </w:rPr>
        <w:t>Przekazywanie danych osobowych do podmiotów spoza EOG lub do organizacji międzynarodowych</w:t>
      </w:r>
    </w:p>
    <w:p w14:paraId="400A9CAE" w14:textId="55A47421" w:rsidR="00EE1654" w:rsidRPr="007C4AB7" w:rsidRDefault="007C4AB7" w:rsidP="007C4AB7">
      <w:pPr>
        <w:shd w:val="clear" w:color="auto" w:fill="FFFFFF"/>
        <w:ind w:left="1077"/>
        <w:jc w:val="both"/>
        <w:textAlignment w:val="baseline"/>
        <w:rPr>
          <w:rFonts w:eastAsia="Calibri" w:cstheme="minorHAnsi"/>
        </w:rPr>
      </w:pPr>
      <w:r w:rsidRPr="007C4AB7">
        <w:rPr>
          <w:rFonts w:eastAsia="Calibri" w:cstheme="minorHAnsi"/>
        </w:rPr>
        <w:lastRenderedPageBreak/>
        <w:t>Bank jako Administrator Pani/Pana danych osobowych nie będzie przekazywać do państwa trzeciego lub organizacji międzynarodowej.</w:t>
      </w:r>
    </w:p>
    <w:sectPr w:rsidR="00EE1654" w:rsidRPr="007C4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4D98"/>
    <w:multiLevelType w:val="hybridMultilevel"/>
    <w:tmpl w:val="78C6DD26"/>
    <w:lvl w:ilvl="0" w:tplc="8A1A6FB2">
      <w:start w:val="1"/>
      <w:numFmt w:val="decimal"/>
      <w:lvlText w:val="%1."/>
      <w:lvlJc w:val="left"/>
      <w:pPr>
        <w:ind w:left="180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E744F5"/>
    <w:multiLevelType w:val="hybridMultilevel"/>
    <w:tmpl w:val="5B86A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F093F"/>
    <w:multiLevelType w:val="hybridMultilevel"/>
    <w:tmpl w:val="B3E28EB6"/>
    <w:lvl w:ilvl="0" w:tplc="04150019">
      <w:start w:val="1"/>
      <w:numFmt w:val="lowerLetter"/>
      <w:lvlText w:val="%1."/>
      <w:lvlJc w:val="left"/>
      <w:pPr>
        <w:ind w:left="2136" w:hanging="360"/>
      </w:p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12C37F78"/>
    <w:multiLevelType w:val="hybridMultilevel"/>
    <w:tmpl w:val="CAE8C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B0A0F"/>
    <w:multiLevelType w:val="hybridMultilevel"/>
    <w:tmpl w:val="0086565C"/>
    <w:lvl w:ilvl="0" w:tplc="676864E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782CA9"/>
    <w:multiLevelType w:val="hybridMultilevel"/>
    <w:tmpl w:val="0A363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B2D20"/>
    <w:multiLevelType w:val="hybridMultilevel"/>
    <w:tmpl w:val="AC34D1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80536"/>
    <w:multiLevelType w:val="hybridMultilevel"/>
    <w:tmpl w:val="1C044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E0DDB"/>
    <w:multiLevelType w:val="hybridMultilevel"/>
    <w:tmpl w:val="5B2C0130"/>
    <w:lvl w:ilvl="0" w:tplc="E3A60674">
      <w:numFmt w:val="bullet"/>
      <w:lvlText w:val="•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4425591"/>
    <w:multiLevelType w:val="hybridMultilevel"/>
    <w:tmpl w:val="A816F6E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C9D78CC"/>
    <w:multiLevelType w:val="hybridMultilevel"/>
    <w:tmpl w:val="0A8E510E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5488264E"/>
    <w:multiLevelType w:val="hybridMultilevel"/>
    <w:tmpl w:val="91107E78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5863462"/>
    <w:multiLevelType w:val="hybridMultilevel"/>
    <w:tmpl w:val="27EACA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50861"/>
    <w:multiLevelType w:val="hybridMultilevel"/>
    <w:tmpl w:val="32045290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D9E438E"/>
    <w:multiLevelType w:val="hybridMultilevel"/>
    <w:tmpl w:val="BAC49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AE3058"/>
    <w:multiLevelType w:val="hybridMultilevel"/>
    <w:tmpl w:val="B5C26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023D9"/>
    <w:multiLevelType w:val="hybridMultilevel"/>
    <w:tmpl w:val="B16E5D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366D4A"/>
    <w:multiLevelType w:val="hybridMultilevel"/>
    <w:tmpl w:val="1AE2A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845E17"/>
    <w:multiLevelType w:val="hybridMultilevel"/>
    <w:tmpl w:val="E2545206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6EB85F56"/>
    <w:multiLevelType w:val="hybridMultilevel"/>
    <w:tmpl w:val="BB483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252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B261D7"/>
    <w:multiLevelType w:val="hybridMultilevel"/>
    <w:tmpl w:val="F56E415C"/>
    <w:lvl w:ilvl="0" w:tplc="E3A60674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65327A2"/>
    <w:multiLevelType w:val="hybridMultilevel"/>
    <w:tmpl w:val="A7CE36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9">
      <w:start w:val="1"/>
      <w:numFmt w:val="lowerLetter"/>
      <w:lvlText w:val="%3."/>
      <w:lvlJc w:val="left"/>
      <w:pPr>
        <w:ind w:left="2520" w:hanging="360"/>
      </w:p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700CDE"/>
    <w:multiLevelType w:val="hybridMultilevel"/>
    <w:tmpl w:val="265E38A4"/>
    <w:lvl w:ilvl="0" w:tplc="F244C080">
      <w:start w:val="1"/>
      <w:numFmt w:val="upperRoman"/>
      <w:lvlText w:val="%1."/>
      <w:lvlJc w:val="left"/>
      <w:pPr>
        <w:ind w:left="1080" w:hanging="720"/>
      </w:pPr>
      <w:rPr>
        <w:rFonts w:ascii="Calibri" w:hAnsi="Calibri" w:cs="Times New Roman" w:hint="default"/>
        <w:b w:val="0"/>
      </w:rPr>
    </w:lvl>
    <w:lvl w:ilvl="1" w:tplc="B7C82070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ECB689D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6632DE"/>
    <w:multiLevelType w:val="hybridMultilevel"/>
    <w:tmpl w:val="55367FD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86223013">
    <w:abstractNumId w:val="15"/>
  </w:num>
  <w:num w:numId="2" w16cid:durableId="808131448">
    <w:abstractNumId w:val="1"/>
  </w:num>
  <w:num w:numId="3" w16cid:durableId="158430437">
    <w:abstractNumId w:val="5"/>
  </w:num>
  <w:num w:numId="4" w16cid:durableId="279535522">
    <w:abstractNumId w:val="3"/>
  </w:num>
  <w:num w:numId="5" w16cid:durableId="1903901702">
    <w:abstractNumId w:val="20"/>
  </w:num>
  <w:num w:numId="6" w16cid:durableId="1353413343">
    <w:abstractNumId w:val="17"/>
  </w:num>
  <w:num w:numId="7" w16cid:durableId="425001442">
    <w:abstractNumId w:val="8"/>
  </w:num>
  <w:num w:numId="8" w16cid:durableId="1883440692">
    <w:abstractNumId w:val="14"/>
  </w:num>
  <w:num w:numId="9" w16cid:durableId="338393098">
    <w:abstractNumId w:val="7"/>
  </w:num>
  <w:num w:numId="10" w16cid:durableId="123814219">
    <w:abstractNumId w:val="22"/>
  </w:num>
  <w:num w:numId="11" w16cid:durableId="183716325">
    <w:abstractNumId w:val="2"/>
  </w:num>
  <w:num w:numId="12" w16cid:durableId="631179274">
    <w:abstractNumId w:val="13"/>
  </w:num>
  <w:num w:numId="13" w16cid:durableId="162016926">
    <w:abstractNumId w:val="10"/>
  </w:num>
  <w:num w:numId="14" w16cid:durableId="2054496753">
    <w:abstractNumId w:val="11"/>
  </w:num>
  <w:num w:numId="15" w16cid:durableId="433332218">
    <w:abstractNumId w:val="23"/>
  </w:num>
  <w:num w:numId="16" w16cid:durableId="594284252">
    <w:abstractNumId w:val="12"/>
  </w:num>
  <w:num w:numId="17" w16cid:durableId="18011423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4580235">
    <w:abstractNumId w:val="4"/>
  </w:num>
  <w:num w:numId="19" w16cid:durableId="150565945">
    <w:abstractNumId w:val="19"/>
  </w:num>
  <w:num w:numId="20" w16cid:durableId="1354527993">
    <w:abstractNumId w:val="18"/>
  </w:num>
  <w:num w:numId="21" w16cid:durableId="295378605">
    <w:abstractNumId w:val="0"/>
  </w:num>
  <w:num w:numId="22" w16cid:durableId="483548578">
    <w:abstractNumId w:val="21"/>
  </w:num>
  <w:num w:numId="23" w16cid:durableId="1771008856">
    <w:abstractNumId w:val="16"/>
  </w:num>
  <w:num w:numId="24" w16cid:durableId="1318262826">
    <w:abstractNumId w:val="9"/>
  </w:num>
  <w:num w:numId="25" w16cid:durableId="13010388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654"/>
    <w:rsid w:val="00015C3D"/>
    <w:rsid w:val="00024A23"/>
    <w:rsid w:val="000B0571"/>
    <w:rsid w:val="0059655C"/>
    <w:rsid w:val="005A1867"/>
    <w:rsid w:val="005B4A40"/>
    <w:rsid w:val="005F3DF2"/>
    <w:rsid w:val="006C04F6"/>
    <w:rsid w:val="00764057"/>
    <w:rsid w:val="00766853"/>
    <w:rsid w:val="007C4AB7"/>
    <w:rsid w:val="00846F0D"/>
    <w:rsid w:val="008B1A8C"/>
    <w:rsid w:val="008E6CB5"/>
    <w:rsid w:val="00A33A50"/>
    <w:rsid w:val="00BC739B"/>
    <w:rsid w:val="00BC7C0D"/>
    <w:rsid w:val="00C653FB"/>
    <w:rsid w:val="00CD752F"/>
    <w:rsid w:val="00DA456C"/>
    <w:rsid w:val="00EA45B7"/>
    <w:rsid w:val="00EC4245"/>
    <w:rsid w:val="00EE1654"/>
    <w:rsid w:val="00E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19575"/>
  <w15:chartTrackingRefBased/>
  <w15:docId w15:val="{2369F833-C4A1-4C19-A9EE-0FAD28E6B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165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405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405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64057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05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05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B05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05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0571"/>
    <w:rPr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rsid w:val="007C4A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C4AB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bssteg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1172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 Gronowska [eQSM]</dc:creator>
  <cp:keywords/>
  <dc:description/>
  <cp:lastModifiedBy>Jolanta Stefaniak</cp:lastModifiedBy>
  <cp:revision>3</cp:revision>
  <dcterms:created xsi:type="dcterms:W3CDTF">2023-02-27T10:05:00Z</dcterms:created>
  <dcterms:modified xsi:type="dcterms:W3CDTF">2023-02-27T10:11:00Z</dcterms:modified>
</cp:coreProperties>
</file>